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46A85" w14:textId="77777777" w:rsidR="00D81D6D" w:rsidRDefault="00D81D6D" w:rsidP="00D81D6D">
      <w:pPr>
        <w:pStyle w:val="NormalWeb"/>
      </w:pPr>
      <w:proofErr w:type="spellStart"/>
      <w:r>
        <w:rPr>
          <w:rFonts w:ascii="TimesNewRomanPS" w:hAnsi="TimesNewRomanPS"/>
          <w:i/>
          <w:iCs/>
        </w:rPr>
        <w:t>Kanjincho</w:t>
      </w:r>
      <w:proofErr w:type="spellEnd"/>
      <w:r>
        <w:rPr>
          <w:rFonts w:ascii="TimesNewRomanPS" w:hAnsi="TimesNewRomanPS"/>
          <w:i/>
          <w:iCs/>
        </w:rPr>
        <w:t>̄</w:t>
      </w:r>
      <w:r>
        <w:rPr>
          <w:rFonts w:ascii="TimesNewRomanPSMT" w:hAnsi="TimesNewRomanPSMT"/>
        </w:rPr>
        <w:t xml:space="preserve">: Minamoto </w:t>
      </w:r>
      <w:proofErr w:type="spellStart"/>
      <w:r>
        <w:rPr>
          <w:rFonts w:ascii="TimesNewRomanPSMT" w:hAnsi="TimesNewRomanPSMT"/>
        </w:rPr>
        <w:t>Yoshitsune</w:t>
      </w:r>
      <w:proofErr w:type="spellEnd"/>
      <w:r>
        <w:rPr>
          <w:rFonts w:ascii="TimesNewRomanPSMT" w:hAnsi="TimesNewRomanPSMT"/>
        </w:rPr>
        <w:t xml:space="preserve"> at the </w:t>
      </w:r>
      <w:proofErr w:type="spellStart"/>
      <w:r>
        <w:rPr>
          <w:rFonts w:ascii="TimesNewRomanPSMT" w:hAnsi="TimesNewRomanPSMT"/>
        </w:rPr>
        <w:t>Ataka</w:t>
      </w:r>
      <w:proofErr w:type="spellEnd"/>
      <w:r>
        <w:rPr>
          <w:rFonts w:ascii="TimesNewRomanPSMT" w:hAnsi="TimesNewRomanPSMT"/>
        </w:rPr>
        <w:t xml:space="preserve"> Barrier Gate </w:t>
      </w:r>
    </w:p>
    <w:p w14:paraId="4D5755D8" w14:textId="77777777" w:rsidR="00D81D6D" w:rsidRDefault="00D81D6D" w:rsidP="00D81D6D">
      <w:pPr>
        <w:pStyle w:val="NormalWeb"/>
      </w:pPr>
      <w:r>
        <w:rPr>
          <w:rFonts w:ascii="TimesNewRomanPSMT" w:hAnsi="TimesNewRomanPSMT"/>
        </w:rPr>
        <w:t xml:space="preserve">Minamoto no </w:t>
      </w:r>
      <w:proofErr w:type="spellStart"/>
      <w:r>
        <w:rPr>
          <w:rFonts w:ascii="TimesNewRomanPSMT" w:hAnsi="TimesNewRomanPSMT"/>
        </w:rPr>
        <w:t>Yoshitsune</w:t>
      </w:r>
      <w:proofErr w:type="spellEnd"/>
      <w:r>
        <w:rPr>
          <w:rFonts w:ascii="TimesNewRomanPSMT" w:hAnsi="TimesNewRomanPSMT"/>
        </w:rPr>
        <w:t xml:space="preserve"> (1159-1189), who after a series of brilliant military victories spent his last years as a fugitive implacably hounded by his elder brother until he was forced to commit </w:t>
      </w:r>
      <w:proofErr w:type="spellStart"/>
      <w:r>
        <w:rPr>
          <w:rFonts w:ascii="TimesNewRomanPSMT" w:hAnsi="TimesNewRomanPSMT"/>
        </w:rPr>
        <w:t>harakiri</w:t>
      </w:r>
      <w:proofErr w:type="spellEnd"/>
      <w:r>
        <w:rPr>
          <w:rFonts w:ascii="TimesNewRomanPSMT" w:hAnsi="TimesNewRomanPSMT"/>
        </w:rPr>
        <w:t xml:space="preserve"> at the age of thirty, is the perfect exemplar of heroic failure. Much of our knowledge about this spectacular young man is invention, a rich fabric of tales and legends woven during the course of the centuries to embellish the sparse historical facts of his career and to create Japan's quintessential hero. </w:t>
      </w:r>
    </w:p>
    <w:p w14:paraId="2A851E08" w14:textId="77777777" w:rsidR="00D81D6D" w:rsidRDefault="00D81D6D" w:rsidP="00D81D6D">
      <w:pPr>
        <w:pStyle w:val="NormalWeb"/>
      </w:pPr>
      <w:r>
        <w:rPr>
          <w:rFonts w:ascii="TimesNewRomanPSMT" w:hAnsi="TimesNewRomanPSMT"/>
        </w:rPr>
        <w:t xml:space="preserve">Though </w:t>
      </w:r>
      <w:proofErr w:type="spellStart"/>
      <w:r>
        <w:rPr>
          <w:rFonts w:ascii="TimesNewRomanPSMT" w:hAnsi="TimesNewRomanPSMT"/>
        </w:rPr>
        <w:t>Yoshitsune</w:t>
      </w:r>
      <w:proofErr w:type="spellEnd"/>
      <w:r>
        <w:rPr>
          <w:rFonts w:ascii="TimesNewRomanPSMT" w:hAnsi="TimesNewRomanPSMT"/>
        </w:rPr>
        <w:t xml:space="preserve"> made not the slightest contribution to the advancement of society or culture, he is one of the most illustrious and beloved personalities in Japanese history. </w:t>
      </w:r>
      <w:proofErr w:type="spellStart"/>
      <w:r>
        <w:rPr>
          <w:rFonts w:ascii="TimesNewRomanPSMT" w:hAnsi="TimesNewRomanPSMT"/>
        </w:rPr>
        <w:t>Yoshitsune's</w:t>
      </w:r>
      <w:proofErr w:type="spellEnd"/>
      <w:r>
        <w:rPr>
          <w:rFonts w:ascii="TimesNewRomanPSMT" w:hAnsi="TimesNewRomanPSMT"/>
        </w:rPr>
        <w:t xml:space="preserve"> historical fame is due mainly to his military achievements: defeating the </w:t>
      </w:r>
      <w:proofErr w:type="spellStart"/>
      <w:r>
        <w:rPr>
          <w:rFonts w:ascii="TimesNewRomanPSMT" w:hAnsi="TimesNewRomanPSMT"/>
        </w:rPr>
        <w:t>Taira</w:t>
      </w:r>
      <w:proofErr w:type="spellEnd"/>
      <w:r>
        <w:rPr>
          <w:rFonts w:ascii="TimesNewRomanPSMT" w:hAnsi="TimesNewRomanPSMT"/>
        </w:rPr>
        <w:t xml:space="preserve"> at the battles of </w:t>
      </w:r>
      <w:proofErr w:type="spellStart"/>
      <w:r>
        <w:rPr>
          <w:rFonts w:ascii="TimesNewRomanPSMT" w:hAnsi="TimesNewRomanPSMT"/>
        </w:rPr>
        <w:t>Ichi</w:t>
      </w:r>
      <w:proofErr w:type="spellEnd"/>
      <w:r>
        <w:rPr>
          <w:rFonts w:ascii="TimesNewRomanPSMT" w:hAnsi="TimesNewRomanPSMT"/>
        </w:rPr>
        <w:t xml:space="preserve"> no </w:t>
      </w:r>
      <w:proofErr w:type="spellStart"/>
      <w:r>
        <w:rPr>
          <w:rFonts w:ascii="TimesNewRomanPSMT" w:hAnsi="TimesNewRomanPSMT"/>
        </w:rPr>
        <w:t>tani</w:t>
      </w:r>
      <w:proofErr w:type="spellEnd"/>
      <w:r>
        <w:rPr>
          <w:rFonts w:ascii="TimesNewRomanPSMT" w:hAnsi="TimesNewRomanPSMT"/>
        </w:rPr>
        <w:t xml:space="preserve">, </w:t>
      </w:r>
      <w:proofErr w:type="spellStart"/>
      <w:r>
        <w:rPr>
          <w:rFonts w:ascii="TimesNewRomanPSMT" w:hAnsi="TimesNewRomanPSMT"/>
        </w:rPr>
        <w:t>Yashima</w:t>
      </w:r>
      <w:proofErr w:type="spellEnd"/>
      <w:r>
        <w:rPr>
          <w:rFonts w:ascii="TimesNewRomanPSMT" w:hAnsi="TimesNewRomanPSMT"/>
        </w:rPr>
        <w:t xml:space="preserve">, and finally Dan no </w:t>
      </w:r>
      <w:proofErr w:type="spellStart"/>
      <w:r>
        <w:rPr>
          <w:rFonts w:ascii="TimesNewRomanPSMT" w:hAnsi="TimesNewRomanPSMT"/>
        </w:rPr>
        <w:t>Ura</w:t>
      </w:r>
      <w:proofErr w:type="spellEnd"/>
      <w:r>
        <w:rPr>
          <w:rFonts w:ascii="TimesNewRomanPSMT" w:hAnsi="TimesNewRomanPSMT"/>
        </w:rPr>
        <w:t xml:space="preserve">. The real reason for his lasting popularity as a hero, however, is that his brief career was shaped in a dramatic parabola of the type that most appeals to the Japanese imagination: after suddenly soaring to success he was undone at the very height of his glory and plummeted to total disaster, a victim of his own sincerity, outwitted by men more worldly and politic than himself and betrayed by those whom he had trusted. So faithfully does </w:t>
      </w:r>
      <w:proofErr w:type="spellStart"/>
      <w:r>
        <w:rPr>
          <w:rFonts w:ascii="TimesNewRomanPSMT" w:hAnsi="TimesNewRomanPSMT"/>
        </w:rPr>
        <w:t>Yoshitsune</w:t>
      </w:r>
      <w:proofErr w:type="spellEnd"/>
      <w:r>
        <w:rPr>
          <w:rFonts w:ascii="TimesNewRomanPSMT" w:hAnsi="TimesNewRomanPSMT"/>
        </w:rPr>
        <w:t xml:space="preserve"> conform to the ideal of heroism through failure that the term </w:t>
      </w:r>
      <w:proofErr w:type="spellStart"/>
      <w:r>
        <w:rPr>
          <w:rFonts w:ascii="TimesNewRomanPS" w:hAnsi="TimesNewRomanPS"/>
          <w:i/>
          <w:iCs/>
        </w:rPr>
        <w:t>hoganbiiki</w:t>
      </w:r>
      <w:proofErr w:type="spellEnd"/>
      <w:r>
        <w:rPr>
          <w:rFonts w:ascii="TimesNewRomanPS" w:hAnsi="TimesNewRomanPS"/>
          <w:i/>
          <w:iCs/>
        </w:rPr>
        <w:t xml:space="preserve"> </w:t>
      </w:r>
      <w:r>
        <w:rPr>
          <w:rFonts w:ascii="TimesNewRomanPSMT" w:hAnsi="TimesNewRomanPSMT"/>
        </w:rPr>
        <w:t xml:space="preserve">(which literally meant "sympathy with the Lieutenant" and came from his rank in the Imperial Police) has become fixed in the language to describe the traditional sympathy with the losing side. By contrast his elder brother, Minamoto no Yoritomo, who happens to have been one of the most important leaders in Japanese history, paid for his worldly success by being relegated to the background of the legend, where he hovers murkily as a suspicious, vindictive character consumed with envy of the resplendent hero whom he ruthlessly pursues and destroys. </w:t>
      </w:r>
    </w:p>
    <w:p w14:paraId="0C49CE04" w14:textId="1A337EF4" w:rsidR="00D81D6D" w:rsidRDefault="00D81D6D" w:rsidP="00D81D6D">
      <w:pPr>
        <w:pStyle w:val="NormalWeb"/>
      </w:pPr>
      <w:r>
        <w:rPr>
          <w:rFonts w:ascii="TimesNewRomanPSMT" w:hAnsi="TimesNewRomanPSMT"/>
        </w:rPr>
        <w:t xml:space="preserve">The kabuki play </w:t>
      </w:r>
      <w:proofErr w:type="spellStart"/>
      <w:r>
        <w:rPr>
          <w:rFonts w:ascii="TimesNewRomanPS" w:hAnsi="TimesNewRomanPS"/>
          <w:i/>
          <w:iCs/>
        </w:rPr>
        <w:t>Kanjincho</w:t>
      </w:r>
      <w:proofErr w:type="spellEnd"/>
      <w:r>
        <w:rPr>
          <w:rFonts w:ascii="TimesNewRomanPS" w:hAnsi="TimesNewRomanPS"/>
          <w:i/>
          <w:iCs/>
        </w:rPr>
        <w:t xml:space="preserve">̄ </w:t>
      </w:r>
      <w:r>
        <w:rPr>
          <w:rFonts w:ascii="TimesNewRomanPSMT" w:hAnsi="TimesNewRomanPSMT"/>
        </w:rPr>
        <w:t xml:space="preserve">(“The Subscription List”), was written by a popular playwright named </w:t>
      </w:r>
      <w:proofErr w:type="spellStart"/>
      <w:r>
        <w:rPr>
          <w:rFonts w:ascii="TimesNewRomanPSMT" w:hAnsi="TimesNewRomanPSMT"/>
        </w:rPr>
        <w:t>Namiki</w:t>
      </w:r>
      <w:proofErr w:type="spellEnd"/>
      <w:r>
        <w:rPr>
          <w:rFonts w:ascii="TimesNewRomanPSMT" w:hAnsi="TimesNewRomanPSMT"/>
        </w:rPr>
        <w:t xml:space="preserve"> </w:t>
      </w:r>
      <w:proofErr w:type="spellStart"/>
      <w:r>
        <w:rPr>
          <w:rFonts w:ascii="TimesNewRomanPSMT" w:hAnsi="TimesNewRomanPSMT"/>
        </w:rPr>
        <w:t>Gohei</w:t>
      </w:r>
      <w:proofErr w:type="spellEnd"/>
      <w:r>
        <w:rPr>
          <w:rFonts w:ascii="TimesNewRomanPSMT" w:hAnsi="TimesNewRomanPSMT"/>
        </w:rPr>
        <w:t xml:space="preserve"> III, and was first performed in March of 1840. It was an instant hit and has been performed regularly ever since as one of the “Eighteen Best Kabuki Plays.” The play was adapted from an earlier nō play called </w:t>
      </w:r>
      <w:proofErr w:type="spellStart"/>
      <w:r>
        <w:rPr>
          <w:rFonts w:ascii="TimesNewRomanPS" w:hAnsi="TimesNewRomanPS"/>
          <w:i/>
          <w:iCs/>
        </w:rPr>
        <w:t>Ataka</w:t>
      </w:r>
      <w:proofErr w:type="spellEnd"/>
      <w:r>
        <w:rPr>
          <w:rFonts w:ascii="TimesNewRomanPS" w:hAnsi="TimesNewRomanPS"/>
          <w:i/>
          <w:iCs/>
        </w:rPr>
        <w:t xml:space="preserve"> </w:t>
      </w:r>
      <w:r>
        <w:rPr>
          <w:rFonts w:ascii="TimesNewRomanPSMT" w:hAnsi="TimesNewRomanPSMT"/>
        </w:rPr>
        <w:t xml:space="preserve">and exemplifies the </w:t>
      </w:r>
      <w:proofErr w:type="spellStart"/>
      <w:r>
        <w:rPr>
          <w:rFonts w:ascii="TimesNewRomanPS" w:hAnsi="TimesNewRomanPS"/>
          <w:i/>
          <w:iCs/>
        </w:rPr>
        <w:t>aragoto</w:t>
      </w:r>
      <w:proofErr w:type="spellEnd"/>
      <w:r>
        <w:rPr>
          <w:rFonts w:ascii="TimesNewRomanPS" w:hAnsi="TimesNewRomanPS"/>
          <w:i/>
          <w:iCs/>
        </w:rPr>
        <w:t xml:space="preserve"> </w:t>
      </w:r>
      <w:r>
        <w:rPr>
          <w:rFonts w:ascii="TimesNewRomanPSMT" w:hAnsi="TimesNewRomanPSMT"/>
        </w:rPr>
        <w:t xml:space="preserve">(“tough guy”) style of acting established by Ichikawa </w:t>
      </w:r>
      <w:proofErr w:type="spellStart"/>
      <w:r>
        <w:rPr>
          <w:rFonts w:ascii="TimesNewRomanPSMT" w:hAnsi="TimesNewRomanPSMT"/>
        </w:rPr>
        <w:t>Danjūro</w:t>
      </w:r>
      <w:proofErr w:type="spellEnd"/>
      <w:r>
        <w:rPr>
          <w:rFonts w:ascii="TimesNewRomanPSMT" w:hAnsi="TimesNewRomanPSMT"/>
        </w:rPr>
        <w:t xml:space="preserve">̄ I (1675-1704)—another “giant” in </w:t>
      </w:r>
      <w:proofErr w:type="spellStart"/>
      <w:r>
        <w:rPr>
          <w:rFonts w:ascii="TimesNewRomanPSMT" w:hAnsi="TimesNewRomanPSMT"/>
        </w:rPr>
        <w:t>Genroku</w:t>
      </w:r>
      <w:proofErr w:type="spellEnd"/>
      <w:r>
        <w:rPr>
          <w:rFonts w:ascii="TimesNewRomanPSMT" w:hAnsi="TimesNewRomanPSMT"/>
        </w:rPr>
        <w:t xml:space="preserve"> period popular culture. The nō play in turn was based on an episode in the </w:t>
      </w:r>
      <w:proofErr w:type="spellStart"/>
      <w:r>
        <w:rPr>
          <w:rFonts w:ascii="TimesNewRomanPS" w:hAnsi="TimesNewRomanPS"/>
          <w:i/>
          <w:iCs/>
        </w:rPr>
        <w:t>Gikeiki</w:t>
      </w:r>
      <w:proofErr w:type="spellEnd"/>
      <w:r>
        <w:rPr>
          <w:rFonts w:ascii="TimesNewRomanPS" w:hAnsi="TimesNewRomanPS"/>
          <w:i/>
          <w:iCs/>
        </w:rPr>
        <w:t xml:space="preserve"> </w:t>
      </w:r>
      <w:r>
        <w:rPr>
          <w:rFonts w:ascii="TimesNewRomanPSMT" w:hAnsi="TimesNewRomanPSMT"/>
        </w:rPr>
        <w:t xml:space="preserve">(“The Chronicle of </w:t>
      </w:r>
    </w:p>
    <w:p w14:paraId="06712EEC" w14:textId="77777777" w:rsidR="00D81D6D" w:rsidRDefault="00D81D6D" w:rsidP="00D81D6D">
      <w:pPr>
        <w:pStyle w:val="NormalWeb"/>
      </w:pPr>
      <w:proofErr w:type="spellStart"/>
      <w:r>
        <w:rPr>
          <w:rFonts w:ascii="TimesNewRomanPSMT" w:hAnsi="TimesNewRomanPSMT"/>
        </w:rPr>
        <w:t>Yoshitsune</w:t>
      </w:r>
      <w:proofErr w:type="spellEnd"/>
      <w:r>
        <w:rPr>
          <w:rFonts w:ascii="TimesNewRomanPSMT" w:hAnsi="TimesNewRomanPSMT"/>
        </w:rPr>
        <w:t xml:space="preserve">”), a collection of stories (mostly fictitious) about the life of </w:t>
      </w:r>
      <w:proofErr w:type="spellStart"/>
      <w:r>
        <w:rPr>
          <w:rFonts w:ascii="TimesNewRomanPSMT" w:hAnsi="TimesNewRomanPSMT"/>
        </w:rPr>
        <w:t>Yoshitsune</w:t>
      </w:r>
      <w:proofErr w:type="spellEnd"/>
      <w:r>
        <w:rPr>
          <w:rFonts w:ascii="TimesNewRomanPSMT" w:hAnsi="TimesNewRomanPSMT"/>
        </w:rPr>
        <w:t xml:space="preserve">. </w:t>
      </w:r>
    </w:p>
    <w:p w14:paraId="3F21C171" w14:textId="77777777" w:rsidR="00D81D6D" w:rsidRDefault="00D81D6D" w:rsidP="00D81D6D">
      <w:pPr>
        <w:pStyle w:val="NormalWeb"/>
      </w:pPr>
      <w:r>
        <w:rPr>
          <w:rFonts w:ascii="TimesNewRomanPSMT" w:hAnsi="TimesNewRomanPSMT"/>
        </w:rPr>
        <w:t xml:space="preserve">After the defeat of the Heike at Dan no </w:t>
      </w:r>
      <w:proofErr w:type="spellStart"/>
      <w:r>
        <w:rPr>
          <w:rFonts w:ascii="TimesNewRomanPSMT" w:hAnsi="TimesNewRomanPSMT"/>
        </w:rPr>
        <w:t>Ura</w:t>
      </w:r>
      <w:proofErr w:type="spellEnd"/>
      <w:r>
        <w:rPr>
          <w:rFonts w:ascii="TimesNewRomanPSMT" w:hAnsi="TimesNewRomanPSMT"/>
        </w:rPr>
        <w:t xml:space="preserve">, Yoritomo turned against his younger brother, a brilliant general by all accounts, because he viewed </w:t>
      </w:r>
      <w:proofErr w:type="spellStart"/>
      <w:r>
        <w:rPr>
          <w:rFonts w:ascii="TimesNewRomanPSMT" w:hAnsi="TimesNewRomanPSMT"/>
        </w:rPr>
        <w:t>Yoshitsune’s</w:t>
      </w:r>
      <w:proofErr w:type="spellEnd"/>
      <w:r>
        <w:rPr>
          <w:rFonts w:ascii="TimesNewRomanPSMT" w:hAnsi="TimesNewRomanPSMT"/>
        </w:rPr>
        <w:t xml:space="preserve"> popularity and military skills as a threat to his own power. Eventually Yoritomo declared </w:t>
      </w:r>
      <w:proofErr w:type="spellStart"/>
      <w:r>
        <w:rPr>
          <w:rFonts w:ascii="TimesNewRomanPSMT" w:hAnsi="TimesNewRomanPSMT"/>
        </w:rPr>
        <w:t>Yoshitsune</w:t>
      </w:r>
      <w:proofErr w:type="spellEnd"/>
      <w:r>
        <w:rPr>
          <w:rFonts w:ascii="TimesNewRomanPSMT" w:hAnsi="TimesNewRomanPSMT"/>
        </w:rPr>
        <w:t xml:space="preserve"> an outlaw and launched a nation-wide search to hunt him down and kill him. </w:t>
      </w:r>
      <w:proofErr w:type="spellStart"/>
      <w:r>
        <w:rPr>
          <w:rFonts w:ascii="TimesNewRomanPSMT" w:hAnsi="TimesNewRomanPSMT"/>
        </w:rPr>
        <w:t>Yoshitsune</w:t>
      </w:r>
      <w:proofErr w:type="spellEnd"/>
      <w:r>
        <w:rPr>
          <w:rFonts w:ascii="TimesNewRomanPSMT" w:hAnsi="TimesNewRomanPSMT"/>
        </w:rPr>
        <w:t xml:space="preserve"> fled Kyoto with a small band of followers and made his way to northern Honshu, to territory that had been ruled by a branch of the Fujiwara clan for centuries. </w:t>
      </w:r>
      <w:proofErr w:type="spellStart"/>
      <w:r>
        <w:rPr>
          <w:rFonts w:ascii="TimesNewRomanPSMT" w:hAnsi="TimesNewRomanPSMT"/>
        </w:rPr>
        <w:t>Yoshitsune</w:t>
      </w:r>
      <w:proofErr w:type="spellEnd"/>
      <w:r>
        <w:rPr>
          <w:rFonts w:ascii="TimesNewRomanPSMT" w:hAnsi="TimesNewRomanPSMT"/>
        </w:rPr>
        <w:t xml:space="preserve"> had spent part of his youth there, and it is there that he met his end: he committed suicide rather than be captured by his brother’s allies. </w:t>
      </w:r>
    </w:p>
    <w:p w14:paraId="0D06DE40" w14:textId="77777777" w:rsidR="00D81D6D" w:rsidRDefault="00D81D6D" w:rsidP="00D81D6D">
      <w:pPr>
        <w:pStyle w:val="NormalWeb"/>
      </w:pPr>
      <w:proofErr w:type="spellStart"/>
      <w:r>
        <w:rPr>
          <w:rFonts w:ascii="TimesNewRomanPSMT" w:hAnsi="TimesNewRomanPSMT"/>
        </w:rPr>
        <w:t>Ataka</w:t>
      </w:r>
      <w:proofErr w:type="spellEnd"/>
      <w:r>
        <w:rPr>
          <w:rFonts w:ascii="TimesNewRomanPSMT" w:hAnsi="TimesNewRomanPSMT"/>
        </w:rPr>
        <w:t xml:space="preserve"> is the name of a “Barrier-Station” or checkpoint for travelers, one of many set up by Yoritomo. It is located on the Japan </w:t>
      </w:r>
      <w:proofErr w:type="gramStart"/>
      <w:r>
        <w:rPr>
          <w:rFonts w:ascii="TimesNewRomanPSMT" w:hAnsi="TimesNewRomanPSMT"/>
        </w:rPr>
        <w:t>Sea side</w:t>
      </w:r>
      <w:proofErr w:type="gramEnd"/>
      <w:r>
        <w:rPr>
          <w:rFonts w:ascii="TimesNewRomanPSMT" w:hAnsi="TimesNewRomanPSMT"/>
        </w:rPr>
        <w:t xml:space="preserve"> of Honshu, near the coast. According to the story, Yoritomo posted a garrison there, commanded by a samurai named </w:t>
      </w:r>
      <w:proofErr w:type="spellStart"/>
      <w:r>
        <w:rPr>
          <w:rFonts w:ascii="TimesNewRomanPSMT" w:hAnsi="TimesNewRomanPSMT"/>
        </w:rPr>
        <w:t>Togashi</w:t>
      </w:r>
      <w:proofErr w:type="spellEnd"/>
      <w:r>
        <w:rPr>
          <w:rFonts w:ascii="TimesNewRomanPSMT" w:hAnsi="TimesNewRomanPSMT"/>
        </w:rPr>
        <w:t xml:space="preserve">. They were ordered to be on the lookout for </w:t>
      </w:r>
      <w:proofErr w:type="spellStart"/>
      <w:r>
        <w:rPr>
          <w:rFonts w:ascii="TimesNewRomanPSMT" w:hAnsi="TimesNewRomanPSMT"/>
        </w:rPr>
        <w:t>Yoshitsune’s</w:t>
      </w:r>
      <w:proofErr w:type="spellEnd"/>
      <w:r>
        <w:rPr>
          <w:rFonts w:ascii="TimesNewRomanPSMT" w:hAnsi="TimesNewRomanPSMT"/>
        </w:rPr>
        <w:t xml:space="preserve"> small band, who were believed to be traveling disguised as </w:t>
      </w:r>
      <w:r>
        <w:rPr>
          <w:rFonts w:ascii="TimesNewRomanPSMT" w:hAnsi="TimesNewRomanPSMT"/>
        </w:rPr>
        <w:lastRenderedPageBreak/>
        <w:t xml:space="preserve">Buddhist monks soliciting money for the rebuilding of </w:t>
      </w:r>
      <w:proofErr w:type="spellStart"/>
      <w:r>
        <w:rPr>
          <w:rFonts w:ascii="TimesNewRomanPSMT" w:hAnsi="TimesNewRomanPSMT"/>
        </w:rPr>
        <w:t>Tōdaiji</w:t>
      </w:r>
      <w:proofErr w:type="spellEnd"/>
      <w:r>
        <w:rPr>
          <w:rFonts w:ascii="TimesNewRomanPSMT" w:hAnsi="TimesNewRomanPSMT"/>
        </w:rPr>
        <w:t xml:space="preserve"> in Nara. </w:t>
      </w:r>
      <w:proofErr w:type="spellStart"/>
      <w:r>
        <w:rPr>
          <w:rFonts w:ascii="TimesNewRomanPSMT" w:hAnsi="TimesNewRomanPSMT"/>
        </w:rPr>
        <w:t>Yoshitsune’s</w:t>
      </w:r>
      <w:proofErr w:type="spellEnd"/>
      <w:r>
        <w:rPr>
          <w:rFonts w:ascii="TimesNewRomanPSMT" w:hAnsi="TimesNewRomanPSMT"/>
        </w:rPr>
        <w:t xml:space="preserve"> band is led by his faithful retainer, a fierce warrior-monk named </w:t>
      </w:r>
      <w:proofErr w:type="spellStart"/>
      <w:r>
        <w:rPr>
          <w:rFonts w:ascii="TimesNewRomanPSMT" w:hAnsi="TimesNewRomanPSMT"/>
        </w:rPr>
        <w:t>Benkei</w:t>
      </w:r>
      <w:proofErr w:type="spellEnd"/>
      <w:r>
        <w:rPr>
          <w:rFonts w:ascii="TimesNewRomanPSMT" w:hAnsi="TimesNewRomanPSMT"/>
        </w:rPr>
        <w:t xml:space="preserve">, who is the real hero of both the nō play </w:t>
      </w:r>
      <w:proofErr w:type="spellStart"/>
      <w:r>
        <w:rPr>
          <w:rFonts w:ascii="TimesNewRomanPS" w:hAnsi="TimesNewRomanPS"/>
          <w:i/>
          <w:iCs/>
        </w:rPr>
        <w:t>Ataka</w:t>
      </w:r>
      <w:proofErr w:type="spellEnd"/>
      <w:r>
        <w:rPr>
          <w:rFonts w:ascii="TimesNewRomanPS" w:hAnsi="TimesNewRomanPS"/>
          <w:i/>
          <w:iCs/>
        </w:rPr>
        <w:t xml:space="preserve"> </w:t>
      </w:r>
      <w:r>
        <w:rPr>
          <w:rFonts w:ascii="TimesNewRomanPSMT" w:hAnsi="TimesNewRomanPSMT"/>
        </w:rPr>
        <w:t xml:space="preserve">and the kabuki play </w:t>
      </w:r>
      <w:proofErr w:type="spellStart"/>
      <w:r>
        <w:rPr>
          <w:rFonts w:ascii="TimesNewRomanPS" w:hAnsi="TimesNewRomanPS"/>
          <w:i/>
          <w:iCs/>
        </w:rPr>
        <w:t>Kanjincho</w:t>
      </w:r>
      <w:proofErr w:type="spellEnd"/>
      <w:r>
        <w:rPr>
          <w:rFonts w:ascii="TimesNewRomanPS" w:hAnsi="TimesNewRomanPS"/>
          <w:i/>
          <w:iCs/>
        </w:rPr>
        <w:t xml:space="preserve">̄. </w:t>
      </w:r>
      <w:r>
        <w:rPr>
          <w:rFonts w:ascii="TimesNewRomanPSMT" w:hAnsi="TimesNewRomanPSMT"/>
        </w:rPr>
        <w:t xml:space="preserve">The play dramatizes the encounter between </w:t>
      </w:r>
      <w:proofErr w:type="spellStart"/>
      <w:r>
        <w:rPr>
          <w:rFonts w:ascii="TimesNewRomanPSMT" w:hAnsi="TimesNewRomanPSMT"/>
        </w:rPr>
        <w:t>Benkei</w:t>
      </w:r>
      <w:proofErr w:type="spellEnd"/>
      <w:r>
        <w:rPr>
          <w:rFonts w:ascii="TimesNewRomanPSMT" w:hAnsi="TimesNewRomanPSMT"/>
        </w:rPr>
        <w:t xml:space="preserve"> and </w:t>
      </w:r>
      <w:proofErr w:type="spellStart"/>
      <w:r>
        <w:rPr>
          <w:rFonts w:ascii="TimesNewRomanPSMT" w:hAnsi="TimesNewRomanPSMT"/>
        </w:rPr>
        <w:t>Togashi</w:t>
      </w:r>
      <w:proofErr w:type="spellEnd"/>
      <w:r>
        <w:rPr>
          <w:rFonts w:ascii="TimesNewRomanPSMT" w:hAnsi="TimesNewRomanPSMT"/>
        </w:rPr>
        <w:t xml:space="preserve"> at the </w:t>
      </w:r>
      <w:proofErr w:type="spellStart"/>
      <w:r>
        <w:rPr>
          <w:rFonts w:ascii="TimesNewRomanPSMT" w:hAnsi="TimesNewRomanPSMT"/>
        </w:rPr>
        <w:t>Ataka</w:t>
      </w:r>
      <w:proofErr w:type="spellEnd"/>
      <w:r>
        <w:rPr>
          <w:rFonts w:ascii="TimesNewRomanPSMT" w:hAnsi="TimesNewRomanPSMT"/>
        </w:rPr>
        <w:t xml:space="preserve"> Barrier Gate. The climax occurs when </w:t>
      </w:r>
      <w:proofErr w:type="spellStart"/>
      <w:r>
        <w:rPr>
          <w:rFonts w:ascii="TimesNewRomanPSMT" w:hAnsi="TimesNewRomanPSMT"/>
        </w:rPr>
        <w:t>Togashi</w:t>
      </w:r>
      <w:proofErr w:type="spellEnd"/>
      <w:r>
        <w:rPr>
          <w:rFonts w:ascii="TimesNewRomanPSMT" w:hAnsi="TimesNewRomanPSMT"/>
        </w:rPr>
        <w:t xml:space="preserve"> demands that </w:t>
      </w:r>
      <w:proofErr w:type="spellStart"/>
      <w:r>
        <w:rPr>
          <w:rFonts w:ascii="TimesNewRomanPSMT" w:hAnsi="TimesNewRomanPSMT"/>
        </w:rPr>
        <w:t>Benkei</w:t>
      </w:r>
      <w:proofErr w:type="spellEnd"/>
      <w:r>
        <w:rPr>
          <w:rFonts w:ascii="TimesNewRomanPSMT" w:hAnsi="TimesNewRomanPSMT"/>
        </w:rPr>
        <w:t xml:space="preserve"> show him the “subscription list” (</w:t>
      </w:r>
      <w:proofErr w:type="spellStart"/>
      <w:r>
        <w:rPr>
          <w:rFonts w:ascii="TimesNewRomanPS" w:hAnsi="TimesNewRomanPS"/>
          <w:i/>
          <w:iCs/>
        </w:rPr>
        <w:t>kanjincho</w:t>
      </w:r>
      <w:proofErr w:type="spellEnd"/>
      <w:r>
        <w:rPr>
          <w:rFonts w:ascii="TimesNewRomanPS" w:hAnsi="TimesNewRomanPS"/>
          <w:i/>
          <w:iCs/>
        </w:rPr>
        <w:t>̄</w:t>
      </w:r>
      <w:r>
        <w:rPr>
          <w:rFonts w:ascii="TimesNewRomanPSMT" w:hAnsi="TimesNewRomanPSMT"/>
        </w:rPr>
        <w:t xml:space="preserve">), which lists the names of those who have given the monks money for the temple. It is a list that </w:t>
      </w:r>
      <w:proofErr w:type="spellStart"/>
      <w:r>
        <w:rPr>
          <w:rFonts w:ascii="TimesNewRomanPSMT" w:hAnsi="TimesNewRomanPSMT"/>
        </w:rPr>
        <w:t>Benkei</w:t>
      </w:r>
      <w:proofErr w:type="spellEnd"/>
      <w:r>
        <w:rPr>
          <w:rFonts w:ascii="TimesNewRomanPSMT" w:hAnsi="TimesNewRomanPSMT"/>
        </w:rPr>
        <w:t xml:space="preserve"> does not have. The role calls for a virtuoso performance on the part of the actor, who must convince </w:t>
      </w:r>
      <w:proofErr w:type="spellStart"/>
      <w:r>
        <w:rPr>
          <w:rFonts w:ascii="TimesNewRomanPSMT" w:hAnsi="TimesNewRomanPSMT"/>
        </w:rPr>
        <w:t>Togashi</w:t>
      </w:r>
      <w:proofErr w:type="spellEnd"/>
      <w:r>
        <w:rPr>
          <w:rFonts w:ascii="TimesNewRomanPSMT" w:hAnsi="TimesNewRomanPSMT"/>
        </w:rPr>
        <w:t xml:space="preserve"> that the group really are monks. In the play, </w:t>
      </w:r>
      <w:proofErr w:type="spellStart"/>
      <w:r>
        <w:rPr>
          <w:rFonts w:ascii="TimesNewRomanPSMT" w:hAnsi="TimesNewRomanPSMT"/>
        </w:rPr>
        <w:t>Yoshitsune</w:t>
      </w:r>
      <w:proofErr w:type="spellEnd"/>
      <w:r>
        <w:rPr>
          <w:rFonts w:ascii="TimesNewRomanPSMT" w:hAnsi="TimesNewRomanPSMT"/>
        </w:rPr>
        <w:t xml:space="preserve"> is disguised as a servant to the other monks; his role is a minor one, overshadowed by that of </w:t>
      </w:r>
      <w:proofErr w:type="spellStart"/>
      <w:r>
        <w:rPr>
          <w:rFonts w:ascii="TimesNewRomanPSMT" w:hAnsi="TimesNewRomanPSMT"/>
        </w:rPr>
        <w:t>Benkei’s</w:t>
      </w:r>
      <w:proofErr w:type="spellEnd"/>
      <w:r>
        <w:rPr>
          <w:rFonts w:ascii="TimesNewRomanPSMT" w:hAnsi="TimesNewRomanPSMT"/>
        </w:rPr>
        <w:t xml:space="preserve"> until the end, when </w:t>
      </w:r>
      <w:proofErr w:type="spellStart"/>
      <w:r>
        <w:rPr>
          <w:rFonts w:ascii="TimesNewRomanPSMT" w:hAnsi="TimesNewRomanPSMT"/>
        </w:rPr>
        <w:t>Benkei is</w:t>
      </w:r>
      <w:proofErr w:type="spellEnd"/>
      <w:r>
        <w:rPr>
          <w:rFonts w:ascii="TimesNewRomanPSMT" w:hAnsi="TimesNewRomanPSMT"/>
        </w:rPr>
        <w:t xml:space="preserve"> forced to beat him to convince </w:t>
      </w:r>
      <w:proofErr w:type="spellStart"/>
      <w:r>
        <w:rPr>
          <w:rFonts w:ascii="TimesNewRomanPSMT" w:hAnsi="TimesNewRomanPSMT"/>
        </w:rPr>
        <w:t>Togashi</w:t>
      </w:r>
      <w:proofErr w:type="spellEnd"/>
      <w:r>
        <w:rPr>
          <w:rFonts w:ascii="TimesNewRomanPSMT" w:hAnsi="TimesNewRomanPSMT"/>
        </w:rPr>
        <w:t xml:space="preserve"> that the servant is just that, not </w:t>
      </w:r>
      <w:proofErr w:type="spellStart"/>
      <w:r>
        <w:rPr>
          <w:rFonts w:ascii="TimesNewRomanPSMT" w:hAnsi="TimesNewRomanPSMT"/>
        </w:rPr>
        <w:t>Yoshitsune</w:t>
      </w:r>
      <w:proofErr w:type="spellEnd"/>
      <w:r>
        <w:rPr>
          <w:rFonts w:ascii="TimesNewRomanPSMT" w:hAnsi="TimesNewRomanPSMT"/>
        </w:rPr>
        <w:t xml:space="preserve"> in disguise. </w:t>
      </w:r>
    </w:p>
    <w:p w14:paraId="5B88FAB1" w14:textId="77777777" w:rsidR="00D81D6D" w:rsidRDefault="00D81D6D" w:rsidP="00D81D6D">
      <w:pPr>
        <w:pStyle w:val="NormalWeb"/>
      </w:pPr>
      <w:r>
        <w:rPr>
          <w:rFonts w:ascii="TimesNewRomanPSMT" w:hAnsi="TimesNewRomanPSMT"/>
        </w:rPr>
        <w:t xml:space="preserve">The video of the play has a voice-over narrative that should help you further in understanding the play. In 1945, director Akira Kurosawa made feature-length film version of the story called </w:t>
      </w:r>
      <w:r>
        <w:rPr>
          <w:rFonts w:ascii="TimesNewRomanPS" w:hAnsi="TimesNewRomanPS"/>
          <w:i/>
          <w:iCs/>
        </w:rPr>
        <w:t xml:space="preserve">The Men Who Tread </w:t>
      </w:r>
      <w:proofErr w:type="gramStart"/>
      <w:r>
        <w:rPr>
          <w:rFonts w:ascii="TimesNewRomanPS" w:hAnsi="TimesNewRomanPS"/>
          <w:i/>
          <w:iCs/>
        </w:rPr>
        <w:t>On</w:t>
      </w:r>
      <w:proofErr w:type="gramEnd"/>
      <w:r>
        <w:rPr>
          <w:rFonts w:ascii="TimesNewRomanPS" w:hAnsi="TimesNewRomanPS"/>
          <w:i/>
          <w:iCs/>
        </w:rPr>
        <w:t xml:space="preserve"> the Tiger's Tail. </w:t>
      </w:r>
      <w:r>
        <w:rPr>
          <w:rFonts w:ascii="TimesNewRomanPSMT" w:hAnsi="TimesNewRomanPSMT"/>
        </w:rPr>
        <w:t xml:space="preserve">The film was initially banned by the U.S. occupation forces (WWII had just ended) due to its portrayal of Japanese feudal values. It was later released after the signing of the Treat of San Francisco in 1952. </w:t>
      </w:r>
    </w:p>
    <w:p w14:paraId="3106300B" w14:textId="73DEEA33" w:rsidR="00D81D6D" w:rsidRDefault="00D81D6D" w:rsidP="00D81D6D">
      <w:pPr>
        <w:pStyle w:val="NormalWeb"/>
      </w:pPr>
    </w:p>
    <w:p w14:paraId="1F0B5910" w14:textId="77777777" w:rsidR="00EB51B1" w:rsidRDefault="00EB51B1"/>
    <w:sectPr w:rsidR="00EB51B1" w:rsidSect="00501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6D"/>
    <w:rsid w:val="00501DCB"/>
    <w:rsid w:val="00D81D6D"/>
    <w:rsid w:val="00EB51B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50A5D00"/>
  <w15:chartTrackingRefBased/>
  <w15:docId w15:val="{BBF0E76E-F7E2-804D-A717-83EA9A003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1D6D"/>
    <w:pPr>
      <w:spacing w:before="100" w:beforeAutospacing="1" w:after="100" w:afterAutospacing="1"/>
    </w:pPr>
    <w:rPr>
      <w:rFonts w:ascii="Times New Roman" w:eastAsia="Times New Roman" w:hAnsi="Times New Roman"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928495">
      <w:bodyDiv w:val="1"/>
      <w:marLeft w:val="0"/>
      <w:marRight w:val="0"/>
      <w:marTop w:val="0"/>
      <w:marBottom w:val="0"/>
      <w:divBdr>
        <w:top w:val="none" w:sz="0" w:space="0" w:color="auto"/>
        <w:left w:val="none" w:sz="0" w:space="0" w:color="auto"/>
        <w:bottom w:val="none" w:sz="0" w:space="0" w:color="auto"/>
        <w:right w:val="none" w:sz="0" w:space="0" w:color="auto"/>
      </w:divBdr>
      <w:divsChild>
        <w:div w:id="240678600">
          <w:marLeft w:val="0"/>
          <w:marRight w:val="0"/>
          <w:marTop w:val="0"/>
          <w:marBottom w:val="0"/>
          <w:divBdr>
            <w:top w:val="none" w:sz="0" w:space="0" w:color="auto"/>
            <w:left w:val="none" w:sz="0" w:space="0" w:color="auto"/>
            <w:bottom w:val="none" w:sz="0" w:space="0" w:color="auto"/>
            <w:right w:val="none" w:sz="0" w:space="0" w:color="auto"/>
          </w:divBdr>
          <w:divsChild>
            <w:div w:id="27805938">
              <w:marLeft w:val="0"/>
              <w:marRight w:val="0"/>
              <w:marTop w:val="0"/>
              <w:marBottom w:val="0"/>
              <w:divBdr>
                <w:top w:val="none" w:sz="0" w:space="0" w:color="auto"/>
                <w:left w:val="none" w:sz="0" w:space="0" w:color="auto"/>
                <w:bottom w:val="none" w:sz="0" w:space="0" w:color="auto"/>
                <w:right w:val="none" w:sz="0" w:space="0" w:color="auto"/>
              </w:divBdr>
              <w:divsChild>
                <w:div w:id="1769692523">
                  <w:marLeft w:val="0"/>
                  <w:marRight w:val="0"/>
                  <w:marTop w:val="0"/>
                  <w:marBottom w:val="0"/>
                  <w:divBdr>
                    <w:top w:val="none" w:sz="0" w:space="0" w:color="auto"/>
                    <w:left w:val="none" w:sz="0" w:space="0" w:color="auto"/>
                    <w:bottom w:val="none" w:sz="0" w:space="0" w:color="auto"/>
                    <w:right w:val="none" w:sz="0" w:space="0" w:color="auto"/>
                  </w:divBdr>
                </w:div>
              </w:divsChild>
            </w:div>
            <w:div w:id="227810870">
              <w:marLeft w:val="0"/>
              <w:marRight w:val="0"/>
              <w:marTop w:val="0"/>
              <w:marBottom w:val="0"/>
              <w:divBdr>
                <w:top w:val="none" w:sz="0" w:space="0" w:color="auto"/>
                <w:left w:val="none" w:sz="0" w:space="0" w:color="auto"/>
                <w:bottom w:val="none" w:sz="0" w:space="0" w:color="auto"/>
                <w:right w:val="none" w:sz="0" w:space="0" w:color="auto"/>
              </w:divBdr>
              <w:divsChild>
                <w:div w:id="22383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5622">
          <w:marLeft w:val="0"/>
          <w:marRight w:val="0"/>
          <w:marTop w:val="0"/>
          <w:marBottom w:val="0"/>
          <w:divBdr>
            <w:top w:val="none" w:sz="0" w:space="0" w:color="auto"/>
            <w:left w:val="none" w:sz="0" w:space="0" w:color="auto"/>
            <w:bottom w:val="none" w:sz="0" w:space="0" w:color="auto"/>
            <w:right w:val="none" w:sz="0" w:space="0" w:color="auto"/>
          </w:divBdr>
          <w:divsChild>
            <w:div w:id="1338115495">
              <w:marLeft w:val="0"/>
              <w:marRight w:val="0"/>
              <w:marTop w:val="0"/>
              <w:marBottom w:val="0"/>
              <w:divBdr>
                <w:top w:val="none" w:sz="0" w:space="0" w:color="auto"/>
                <w:left w:val="none" w:sz="0" w:space="0" w:color="auto"/>
                <w:bottom w:val="none" w:sz="0" w:space="0" w:color="auto"/>
                <w:right w:val="none" w:sz="0" w:space="0" w:color="auto"/>
              </w:divBdr>
              <w:divsChild>
                <w:div w:id="284309033">
                  <w:marLeft w:val="0"/>
                  <w:marRight w:val="0"/>
                  <w:marTop w:val="0"/>
                  <w:marBottom w:val="0"/>
                  <w:divBdr>
                    <w:top w:val="none" w:sz="0" w:space="0" w:color="auto"/>
                    <w:left w:val="none" w:sz="0" w:space="0" w:color="auto"/>
                    <w:bottom w:val="none" w:sz="0" w:space="0" w:color="auto"/>
                    <w:right w:val="none" w:sz="0" w:space="0" w:color="auto"/>
                  </w:divBdr>
                </w:div>
              </w:divsChild>
            </w:div>
            <w:div w:id="815100192">
              <w:marLeft w:val="0"/>
              <w:marRight w:val="0"/>
              <w:marTop w:val="0"/>
              <w:marBottom w:val="0"/>
              <w:divBdr>
                <w:top w:val="none" w:sz="0" w:space="0" w:color="auto"/>
                <w:left w:val="none" w:sz="0" w:space="0" w:color="auto"/>
                <w:bottom w:val="none" w:sz="0" w:space="0" w:color="auto"/>
                <w:right w:val="none" w:sz="0" w:space="0" w:color="auto"/>
              </w:divBdr>
              <w:divsChild>
                <w:div w:id="15272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752</Words>
  <Characters>4287</Characters>
  <Application>Microsoft Office Word</Application>
  <DocSecurity>0</DocSecurity>
  <Lines>35</Lines>
  <Paragraphs>10</Paragraphs>
  <ScaleCrop>false</ScaleCrop>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 Jae Sohn</dc:creator>
  <cp:keywords/>
  <dc:description/>
  <cp:lastModifiedBy>Jung Jae Sohn</cp:lastModifiedBy>
  <cp:revision>1</cp:revision>
  <dcterms:created xsi:type="dcterms:W3CDTF">2020-11-01T02:01:00Z</dcterms:created>
  <dcterms:modified xsi:type="dcterms:W3CDTF">2020-11-01T02:02:00Z</dcterms:modified>
</cp:coreProperties>
</file>